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0A93B" w14:textId="77777777" w:rsidR="00A0078A" w:rsidRPr="00A0078A" w:rsidRDefault="00A0078A" w:rsidP="00A0078A">
      <w:pPr>
        <w:spacing w:after="0" w:line="240" w:lineRule="auto"/>
        <w:rPr>
          <w:rFonts w:ascii="Century Gothic" w:eastAsia="Times New Roman" w:hAnsi="Century Gothic" w:cs="Times New Roman"/>
          <w:color w:val="000000" w:themeColor="text1"/>
          <w:sz w:val="20"/>
          <w:szCs w:val="20"/>
        </w:rPr>
      </w:pPr>
    </w:p>
    <w:p w14:paraId="1218F8AE" w14:textId="77777777" w:rsidR="00A0078A" w:rsidRPr="00A0078A" w:rsidRDefault="00A0078A" w:rsidP="00A0078A">
      <w:pPr>
        <w:tabs>
          <w:tab w:val="left" w:pos="8370"/>
        </w:tabs>
        <w:spacing w:after="0" w:line="240" w:lineRule="auto"/>
        <w:rPr>
          <w:rFonts w:ascii="Century Gothic" w:eastAsia="Times New Roman" w:hAnsi="Century Gothic" w:cs="Times New Roman"/>
          <w:b/>
          <w:bCs/>
          <w:color w:val="000000" w:themeColor="text1"/>
          <w:sz w:val="20"/>
          <w:szCs w:val="20"/>
        </w:rPr>
      </w:pPr>
    </w:p>
    <w:p w14:paraId="6308E02F"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color w:val="000000" w:themeColor="text1"/>
          <w:sz w:val="20"/>
          <w:szCs w:val="20"/>
        </w:rPr>
      </w:pPr>
    </w:p>
    <w:p w14:paraId="668D5505"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jc w:val="center"/>
        <w:rPr>
          <w:rFonts w:ascii="Century Gothic" w:eastAsia="Times New Roman" w:hAnsi="Century Gothic" w:cs="Times New Roman"/>
          <w:color w:val="000000" w:themeColor="text1"/>
          <w:sz w:val="20"/>
          <w:szCs w:val="20"/>
        </w:rPr>
      </w:pPr>
      <w:bookmarkStart w:id="0" w:name="_Hlk482093633"/>
      <w:r w:rsidRPr="00A0078A">
        <w:rPr>
          <w:rFonts w:ascii="Century Gothic" w:eastAsia="Times New Roman" w:hAnsi="Century Gothic" w:cs="Times New Roman"/>
          <w:b/>
          <w:bCs/>
          <w:color w:val="000000" w:themeColor="text1"/>
          <w:sz w:val="40"/>
          <w:szCs w:val="40"/>
        </w:rPr>
        <w:t>Eastover Primary School</w:t>
      </w:r>
    </w:p>
    <w:p w14:paraId="57039AE0"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color w:val="000000" w:themeColor="text1"/>
          <w:sz w:val="20"/>
          <w:szCs w:val="20"/>
        </w:rPr>
      </w:pPr>
    </w:p>
    <w:p w14:paraId="40595918"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jc w:val="center"/>
        <w:rPr>
          <w:rFonts w:ascii="Century Gothic" w:eastAsia="Times New Roman" w:hAnsi="Century Gothic" w:cs="Times New Roman"/>
          <w:color w:val="000000" w:themeColor="text1"/>
          <w:sz w:val="20"/>
          <w:szCs w:val="20"/>
        </w:rPr>
      </w:pPr>
      <w:r w:rsidRPr="00A0078A">
        <w:rPr>
          <w:rFonts w:ascii="Century Gothic" w:eastAsia="Times New Roman" w:hAnsi="Century Gothic" w:cs="Times New Roman"/>
          <w:noProof/>
          <w:color w:val="000000" w:themeColor="text1"/>
          <w:sz w:val="20"/>
          <w:szCs w:val="20"/>
        </w:rPr>
        <w:drawing>
          <wp:inline distT="0" distB="0" distL="0" distR="0" wp14:anchorId="51B5CA7A" wp14:editId="46259265">
            <wp:extent cx="1890755" cy="251060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90755" cy="2510601"/>
                    </a:xfrm>
                    <a:prstGeom prst="rect">
                      <a:avLst/>
                    </a:prstGeom>
                  </pic:spPr>
                </pic:pic>
              </a:graphicData>
            </a:graphic>
          </wp:inline>
        </w:drawing>
      </w:r>
    </w:p>
    <w:p w14:paraId="3EBBBFC4"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b/>
          <w:bCs/>
          <w:color w:val="000000" w:themeColor="text1"/>
          <w:sz w:val="20"/>
          <w:szCs w:val="20"/>
        </w:rPr>
      </w:pPr>
    </w:p>
    <w:p w14:paraId="43B89812"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Century Gothic" w:eastAsia="Times New Roman" w:hAnsi="Century Gothic" w:cs="Times New Roman"/>
          <w:b/>
          <w:bCs/>
          <w:color w:val="000000" w:themeColor="text1"/>
          <w:sz w:val="20"/>
          <w:szCs w:val="20"/>
        </w:rPr>
      </w:pPr>
      <w:r w:rsidRPr="00A0078A">
        <w:rPr>
          <w:rFonts w:ascii="Century Gothic" w:eastAsia="Times New Roman" w:hAnsi="Century Gothic" w:cs="Times New Roman"/>
          <w:b/>
          <w:bCs/>
          <w:color w:val="000000" w:themeColor="text1"/>
          <w:sz w:val="20"/>
          <w:szCs w:val="20"/>
        </w:rPr>
        <w:t>Approved by the Governing Body of</w:t>
      </w:r>
    </w:p>
    <w:p w14:paraId="1BAECA86"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Century Gothic" w:eastAsia="Times New Roman" w:hAnsi="Century Gothic" w:cs="Times New Roman"/>
          <w:b/>
          <w:bCs/>
          <w:color w:val="000000" w:themeColor="text1"/>
          <w:sz w:val="20"/>
          <w:szCs w:val="20"/>
        </w:rPr>
      </w:pPr>
      <w:r w:rsidRPr="00A0078A">
        <w:rPr>
          <w:rFonts w:ascii="Century Gothic" w:eastAsia="Times New Roman" w:hAnsi="Century Gothic" w:cs="Times New Roman"/>
          <w:b/>
          <w:bCs/>
          <w:color w:val="000000" w:themeColor="text1"/>
          <w:sz w:val="20"/>
          <w:szCs w:val="20"/>
        </w:rPr>
        <w:t>Eastover Primary School</w:t>
      </w:r>
    </w:p>
    <w:p w14:paraId="1B9C444F"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Century Gothic" w:eastAsia="Times New Roman" w:hAnsi="Century Gothic" w:cs="Times New Roman"/>
          <w:b/>
          <w:bCs/>
          <w:color w:val="000000" w:themeColor="text1"/>
          <w:sz w:val="20"/>
          <w:szCs w:val="20"/>
        </w:rPr>
      </w:pPr>
      <w:r w:rsidRPr="00A0078A">
        <w:rPr>
          <w:rFonts w:ascii="Verdana" w:eastAsia="Times New Roman" w:hAnsi="Verdana" w:cs="Times New Roman"/>
          <w:b/>
          <w:bCs/>
          <w:noProof/>
          <w:sz w:val="24"/>
          <w:szCs w:val="24"/>
          <w:lang w:eastAsia="en-GB"/>
        </w:rPr>
        <w:drawing>
          <wp:anchor distT="0" distB="0" distL="114300" distR="114300" simplePos="0" relativeHeight="251657728" behindDoc="1" locked="0" layoutInCell="1" allowOverlap="1" wp14:anchorId="2A6E11FF" wp14:editId="5BB52D4A">
            <wp:simplePos x="0" y="0"/>
            <wp:positionH relativeFrom="column">
              <wp:posOffset>666750</wp:posOffset>
            </wp:positionH>
            <wp:positionV relativeFrom="paragraph">
              <wp:posOffset>3810</wp:posOffset>
            </wp:positionV>
            <wp:extent cx="2400935" cy="17602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935" cy="1760220"/>
                    </a:xfrm>
                    <a:prstGeom prst="rect">
                      <a:avLst/>
                    </a:prstGeom>
                    <a:noFill/>
                  </pic:spPr>
                </pic:pic>
              </a:graphicData>
            </a:graphic>
          </wp:anchor>
        </w:drawing>
      </w:r>
    </w:p>
    <w:p w14:paraId="54F54511"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ind w:firstLine="720"/>
        <w:rPr>
          <w:rFonts w:ascii="Century Gothic" w:eastAsia="Times New Roman" w:hAnsi="Century Gothic" w:cs="Times New Roman"/>
          <w:b/>
          <w:bCs/>
          <w:color w:val="000000" w:themeColor="text1"/>
          <w:sz w:val="20"/>
          <w:szCs w:val="20"/>
        </w:rPr>
      </w:pPr>
    </w:p>
    <w:p w14:paraId="60678A1F"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ind w:firstLine="720"/>
        <w:rPr>
          <w:rFonts w:ascii="Century Gothic" w:eastAsia="Times New Roman" w:hAnsi="Century Gothic" w:cs="Times New Roman"/>
          <w:b/>
          <w:bCs/>
          <w:color w:val="000000" w:themeColor="text1"/>
          <w:sz w:val="20"/>
          <w:szCs w:val="20"/>
        </w:rPr>
      </w:pPr>
      <w:r w:rsidRPr="00A0078A">
        <w:rPr>
          <w:rFonts w:ascii="Century Gothic" w:eastAsia="Times New Roman" w:hAnsi="Century Gothic" w:cs="Times New Roman"/>
          <w:b/>
          <w:bCs/>
          <w:color w:val="000000" w:themeColor="text1"/>
          <w:sz w:val="20"/>
          <w:szCs w:val="20"/>
        </w:rPr>
        <w:t>Name …Mrs B Cockrell…</w:t>
      </w:r>
    </w:p>
    <w:p w14:paraId="7F2AA525" w14:textId="77777777" w:rsidR="00A0078A" w:rsidRPr="00A0078A" w:rsidRDefault="00A0078A" w:rsidP="00A0078A">
      <w:pPr>
        <w:pBdr>
          <w:top w:val="double" w:sz="12" w:space="17" w:color="auto"/>
          <w:left w:val="double" w:sz="12" w:space="0" w:color="auto"/>
          <w:bottom w:val="double" w:sz="12" w:space="31" w:color="auto"/>
          <w:right w:val="double" w:sz="12" w:space="0" w:color="auto"/>
        </w:pBdr>
        <w:tabs>
          <w:tab w:val="left" w:pos="6240"/>
        </w:tabs>
        <w:spacing w:after="0" w:line="240" w:lineRule="auto"/>
        <w:jc w:val="center"/>
        <w:rPr>
          <w:rFonts w:ascii="Century Gothic" w:eastAsia="Times New Roman" w:hAnsi="Century Gothic" w:cs="Times New Roman"/>
          <w:b/>
          <w:bCs/>
          <w:color w:val="000000" w:themeColor="text1"/>
          <w:sz w:val="20"/>
          <w:szCs w:val="20"/>
        </w:rPr>
      </w:pPr>
    </w:p>
    <w:p w14:paraId="220E6D23"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b/>
          <w:bCs/>
          <w:color w:val="000000" w:themeColor="text1"/>
          <w:sz w:val="20"/>
          <w:szCs w:val="20"/>
        </w:rPr>
      </w:pPr>
      <w:r w:rsidRPr="00A0078A">
        <w:rPr>
          <w:rFonts w:ascii="Century Gothic" w:eastAsia="Times New Roman" w:hAnsi="Century Gothic" w:cs="Times New Roman"/>
          <w:b/>
          <w:bCs/>
          <w:color w:val="000000" w:themeColor="text1"/>
          <w:sz w:val="20"/>
          <w:szCs w:val="20"/>
        </w:rPr>
        <w:tab/>
        <w:t xml:space="preserve">Signature: </w:t>
      </w:r>
    </w:p>
    <w:p w14:paraId="1E7D9263"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b/>
          <w:bCs/>
          <w:color w:val="000000" w:themeColor="text1"/>
          <w:sz w:val="20"/>
          <w:szCs w:val="20"/>
        </w:rPr>
      </w:pPr>
    </w:p>
    <w:bookmarkEnd w:id="0"/>
    <w:p w14:paraId="52659C0E"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b/>
          <w:bCs/>
          <w:color w:val="000000" w:themeColor="text1"/>
          <w:sz w:val="20"/>
          <w:szCs w:val="20"/>
        </w:rPr>
      </w:pPr>
    </w:p>
    <w:p w14:paraId="1F20B8DA"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b/>
          <w:bCs/>
          <w:color w:val="000000" w:themeColor="text1"/>
          <w:sz w:val="20"/>
          <w:szCs w:val="20"/>
        </w:rPr>
      </w:pPr>
      <w:r w:rsidRPr="00A0078A">
        <w:rPr>
          <w:rFonts w:ascii="Century Gothic" w:eastAsia="Times New Roman" w:hAnsi="Century Gothic" w:cs="Times New Roman"/>
          <w:b/>
          <w:bCs/>
          <w:color w:val="000000" w:themeColor="text1"/>
          <w:sz w:val="20"/>
          <w:szCs w:val="20"/>
        </w:rPr>
        <w:t xml:space="preserve">        </w:t>
      </w:r>
      <w:r w:rsidRPr="00A0078A">
        <w:rPr>
          <w:rFonts w:ascii="Century Gothic" w:eastAsia="Times New Roman" w:hAnsi="Century Gothic" w:cs="Times New Roman"/>
          <w:b/>
          <w:bCs/>
          <w:color w:val="000000" w:themeColor="text1"/>
          <w:sz w:val="20"/>
          <w:szCs w:val="20"/>
        </w:rPr>
        <w:tab/>
        <w:t xml:space="preserve"> </w:t>
      </w:r>
    </w:p>
    <w:p w14:paraId="45604F06" w14:textId="77777777" w:rsidR="00A0078A" w:rsidRPr="00A0078A" w:rsidRDefault="00A0078A" w:rsidP="00A0078A">
      <w:pPr>
        <w:pBdr>
          <w:top w:val="double" w:sz="12" w:space="17" w:color="auto"/>
          <w:left w:val="double" w:sz="12" w:space="0" w:color="auto"/>
          <w:bottom w:val="double" w:sz="12" w:space="31" w:color="auto"/>
          <w:right w:val="double" w:sz="12" w:space="0" w:color="auto"/>
        </w:pBdr>
        <w:spacing w:after="0" w:line="240" w:lineRule="auto"/>
        <w:rPr>
          <w:rFonts w:ascii="Century Gothic" w:eastAsia="Times New Roman" w:hAnsi="Century Gothic" w:cs="Times New Roman"/>
          <w:b/>
          <w:bCs/>
          <w:color w:val="000000" w:themeColor="text1"/>
          <w:sz w:val="20"/>
          <w:szCs w:val="20"/>
        </w:rPr>
      </w:pPr>
    </w:p>
    <w:p w14:paraId="1AC46C21" w14:textId="77777777" w:rsidR="00A0078A" w:rsidRPr="00A0078A" w:rsidRDefault="00A0078A" w:rsidP="00A0078A">
      <w:pPr>
        <w:spacing w:after="0" w:line="240" w:lineRule="auto"/>
        <w:rPr>
          <w:rFonts w:ascii="Century Gothic" w:eastAsia="Times New Roman" w:hAnsi="Century Gothic" w:cs="Times New Roman"/>
          <w:color w:val="000000" w:themeColor="text1"/>
          <w:sz w:val="20"/>
          <w:szCs w:val="20"/>
        </w:rPr>
      </w:pPr>
    </w:p>
    <w:p w14:paraId="7C74E462" w14:textId="77777777" w:rsidR="00A0078A" w:rsidRPr="00A0078A" w:rsidRDefault="00A0078A" w:rsidP="00A0078A">
      <w:pPr>
        <w:spacing w:after="0" w:line="240" w:lineRule="auto"/>
        <w:rPr>
          <w:rFonts w:ascii="Century Gothic" w:eastAsia="Times New Roman" w:hAnsi="Century Gothic" w:cs="Times New Roman"/>
          <w:color w:val="000000" w:themeColor="text1"/>
          <w:sz w:val="20"/>
          <w:szCs w:val="20"/>
        </w:rPr>
      </w:pPr>
    </w:p>
    <w:p w14:paraId="2B6A7EDC" w14:textId="77777777" w:rsidR="00A0078A" w:rsidRPr="00A0078A" w:rsidRDefault="00A0078A" w:rsidP="00A0078A">
      <w:pPr>
        <w:spacing w:after="0" w:line="240" w:lineRule="auto"/>
        <w:rPr>
          <w:rFonts w:ascii="Century Gothic" w:eastAsia="Times New Roman" w:hAnsi="Century Gothic" w:cs="Times New Roman"/>
          <w:color w:val="000000" w:themeColor="text1"/>
          <w:sz w:val="20"/>
          <w:szCs w:val="20"/>
        </w:rPr>
      </w:pPr>
    </w:p>
    <w:p w14:paraId="2F91901F" w14:textId="77777777" w:rsidR="00A0078A" w:rsidRPr="00A0078A" w:rsidRDefault="00A0078A" w:rsidP="00A0078A">
      <w:pPr>
        <w:spacing w:after="0" w:line="240" w:lineRule="auto"/>
        <w:rPr>
          <w:rFonts w:ascii="Century Gothic" w:eastAsia="Times New Roman" w:hAnsi="Century Gothic" w:cs="Times New Roman"/>
          <w:color w:val="000000" w:themeColor="text1"/>
          <w:sz w:val="20"/>
          <w:szCs w:val="20"/>
        </w:rPr>
      </w:pPr>
    </w:p>
    <w:p w14:paraId="7E52B2B3" w14:textId="77777777" w:rsidR="00A0078A" w:rsidRPr="00A0078A" w:rsidRDefault="00A0078A" w:rsidP="00A0078A">
      <w:pPr>
        <w:spacing w:after="0" w:line="240" w:lineRule="auto"/>
        <w:jc w:val="center"/>
        <w:rPr>
          <w:rFonts w:ascii="Century Gothic" w:eastAsia="Times New Roman" w:hAnsi="Century Gothic" w:cs="Arial"/>
          <w:b/>
          <w:color w:val="000000" w:themeColor="text1"/>
          <w:sz w:val="20"/>
          <w:szCs w:val="20"/>
        </w:rPr>
      </w:pPr>
      <w:r w:rsidRPr="00A0078A">
        <w:rPr>
          <w:rFonts w:ascii="Century Gothic" w:eastAsia="Times New Roman" w:hAnsi="Century Gothic" w:cs="Arial"/>
          <w:b/>
          <w:noProof/>
          <w:color w:val="000000" w:themeColor="text1"/>
          <w:sz w:val="20"/>
          <w:szCs w:val="20"/>
        </w:rPr>
        <w:drawing>
          <wp:inline distT="0" distB="0" distL="0" distR="0" wp14:anchorId="50975EED" wp14:editId="5A218B47">
            <wp:extent cx="1854200" cy="724537"/>
            <wp:effectExtent l="0" t="0" r="0" b="0"/>
            <wp:docPr id="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Description automatically generated"/>
                    <pic:cNvPicPr/>
                  </pic:nvPicPr>
                  <pic:blipFill>
                    <a:blip r:embed="rId10"/>
                    <a:stretch>
                      <a:fillRect/>
                    </a:stretch>
                  </pic:blipFill>
                  <pic:spPr>
                    <a:xfrm>
                      <a:off x="0" y="0"/>
                      <a:ext cx="1875490" cy="732856"/>
                    </a:xfrm>
                    <a:prstGeom prst="rect">
                      <a:avLst/>
                    </a:prstGeom>
                  </pic:spPr>
                </pic:pic>
              </a:graphicData>
            </a:graphic>
          </wp:inline>
        </w:drawing>
      </w:r>
    </w:p>
    <w:p w14:paraId="459E7B22" w14:textId="77777777" w:rsidR="00A0078A" w:rsidRPr="00A0078A" w:rsidRDefault="00A0078A" w:rsidP="00A0078A">
      <w:pPr>
        <w:spacing w:after="0" w:line="240" w:lineRule="auto"/>
        <w:rPr>
          <w:rFonts w:ascii="Century Gothic" w:eastAsia="Arial" w:hAnsi="Century Gothic" w:cs="Arial"/>
          <w:b/>
          <w:bCs/>
          <w:color w:val="000000" w:themeColor="text1"/>
          <w:sz w:val="20"/>
          <w:szCs w:val="20"/>
        </w:rPr>
      </w:pPr>
    </w:p>
    <w:p w14:paraId="6BE695CD" w14:textId="77777777" w:rsidR="00A0078A" w:rsidRPr="00A0078A" w:rsidRDefault="00A0078A" w:rsidP="00A0078A">
      <w:pPr>
        <w:spacing w:after="0" w:line="240" w:lineRule="auto"/>
        <w:jc w:val="center"/>
        <w:rPr>
          <w:rFonts w:ascii="Century Gothic" w:eastAsia="Arial" w:hAnsi="Century Gothic" w:cs="Arial"/>
          <w:b/>
          <w:bCs/>
          <w:color w:val="000000" w:themeColor="text1"/>
          <w:sz w:val="20"/>
          <w:szCs w:val="20"/>
        </w:rPr>
      </w:pPr>
    </w:p>
    <w:p w14:paraId="080DBA22" w14:textId="77777777" w:rsidR="00A0078A" w:rsidRPr="00A0078A" w:rsidRDefault="00A0078A" w:rsidP="00A0078A">
      <w:pPr>
        <w:spacing w:after="0" w:line="240" w:lineRule="auto"/>
        <w:jc w:val="center"/>
        <w:rPr>
          <w:rFonts w:ascii="Century Gothic" w:eastAsia="Arial" w:hAnsi="Century Gothic" w:cs="Arial"/>
          <w:b/>
          <w:bCs/>
          <w:color w:val="000000" w:themeColor="text1"/>
          <w:sz w:val="20"/>
          <w:szCs w:val="20"/>
        </w:rPr>
      </w:pPr>
    </w:p>
    <w:p w14:paraId="11AA6A1E" w14:textId="77777777" w:rsidR="00A0078A" w:rsidRPr="00A0078A" w:rsidRDefault="00A0078A" w:rsidP="00A0078A">
      <w:pPr>
        <w:spacing w:after="0" w:line="240" w:lineRule="auto"/>
        <w:jc w:val="center"/>
        <w:rPr>
          <w:rFonts w:ascii="Century Gothic" w:eastAsia="Arial" w:hAnsi="Century Gothic" w:cs="Arial"/>
          <w:b/>
          <w:bCs/>
          <w:color w:val="000000" w:themeColor="text1"/>
          <w:sz w:val="20"/>
          <w:szCs w:val="20"/>
        </w:rPr>
      </w:pPr>
    </w:p>
    <w:p w14:paraId="42DEE966" w14:textId="787110F0" w:rsidR="00A0078A" w:rsidRDefault="00A0078A">
      <w:pPr>
        <w:rPr>
          <w:rFonts w:ascii="Calibri-Bold" w:hAnsi="Calibri-Bold" w:cs="Calibri-Bold"/>
          <w:b/>
          <w:bCs/>
          <w:color w:val="595959"/>
          <w:sz w:val="44"/>
          <w:szCs w:val="44"/>
        </w:rPr>
      </w:pPr>
    </w:p>
    <w:p w14:paraId="24A3AE5E" w14:textId="77777777" w:rsidR="00A0078A" w:rsidRDefault="00A0078A">
      <w:pPr>
        <w:rPr>
          <w:rFonts w:ascii="Calibri-Bold" w:hAnsi="Calibri-Bold" w:cs="Calibri-Bold"/>
          <w:b/>
          <w:bCs/>
          <w:color w:val="595959"/>
          <w:sz w:val="44"/>
          <w:szCs w:val="44"/>
        </w:rPr>
      </w:pPr>
    </w:p>
    <w:p w14:paraId="390FFB86" w14:textId="3B1A71AB" w:rsidR="00E1715C" w:rsidRDefault="00DF1371">
      <w:pPr>
        <w:rPr>
          <w:rFonts w:ascii="Century Gothic" w:hAnsi="Century Gothic" w:cs="Calibri-Bold"/>
          <w:b/>
          <w:bCs/>
          <w:color w:val="595959"/>
          <w:sz w:val="44"/>
          <w:szCs w:val="44"/>
        </w:rPr>
      </w:pPr>
      <w:r>
        <w:rPr>
          <w:rFonts w:ascii="Century Gothic" w:hAnsi="Century Gothic" w:cs="Calibri-Bold"/>
          <w:b/>
          <w:bCs/>
          <w:color w:val="000000"/>
          <w:sz w:val="28"/>
          <w:szCs w:val="28"/>
        </w:rPr>
        <w:t>Eastover Primary School Counselling Service: Years FS – Year 6</w:t>
      </w:r>
    </w:p>
    <w:p w14:paraId="353108B1"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At Eastover Primary School we seek to meet the needs of the whole person. Our aim is to respond and recognise the talents of every student and provide the most appropriate means of developing their potential. We are mindful that some students from time to time may need additional support and would benefit from having the opportunity to work through some of their difficulties.</w:t>
      </w:r>
    </w:p>
    <w:p w14:paraId="35272CF1"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As part of our mission statement Eastover Primary School is proud to offer a counselling service for all students between Foundation Stage and Year 6. This is provided by a qualified and experienced counsellor who belongs to a professional body. The counsellor is available throughout term time to help manage the psychological and emotional well-being of all students at Eastover Primary School.  The school’s counselling service is designed to complement the excellent pastoral system which is acknowledged as one of the strengths of the school.</w:t>
      </w:r>
    </w:p>
    <w:p w14:paraId="3AF3EDB2" w14:textId="77777777" w:rsidR="00E1715C" w:rsidRDefault="00E1715C">
      <w:pPr>
        <w:autoSpaceDE w:val="0"/>
        <w:autoSpaceDN w:val="0"/>
        <w:adjustRightInd w:val="0"/>
        <w:spacing w:after="0" w:line="240" w:lineRule="auto"/>
        <w:rPr>
          <w:rFonts w:ascii="Calibri" w:hAnsi="Calibri" w:cs="Calibri"/>
          <w:color w:val="000000"/>
          <w:sz w:val="24"/>
          <w:szCs w:val="24"/>
        </w:rPr>
      </w:pPr>
    </w:p>
    <w:p w14:paraId="3AF29ED4" w14:textId="77777777" w:rsidR="00E1715C" w:rsidRDefault="00DF1371">
      <w:pPr>
        <w:autoSpaceDE w:val="0"/>
        <w:autoSpaceDN w:val="0"/>
        <w:adjustRightInd w:val="0"/>
        <w:spacing w:after="0" w:line="240" w:lineRule="auto"/>
        <w:rPr>
          <w:rFonts w:ascii="Century Gothic" w:hAnsi="Century Gothic" w:cs="Calibri-Bold"/>
          <w:b/>
          <w:bCs/>
          <w:color w:val="000000"/>
          <w:sz w:val="24"/>
          <w:szCs w:val="24"/>
        </w:rPr>
      </w:pPr>
      <w:r>
        <w:rPr>
          <w:rFonts w:ascii="Century Gothic" w:hAnsi="Century Gothic" w:cs="Calibri-Bold"/>
          <w:b/>
          <w:bCs/>
          <w:color w:val="000000"/>
          <w:sz w:val="24"/>
          <w:szCs w:val="24"/>
        </w:rPr>
        <w:t>What is counselling and how may it help?</w:t>
      </w:r>
    </w:p>
    <w:p w14:paraId="08C40AB4" w14:textId="77777777" w:rsidR="00E1715C" w:rsidRDefault="00E1715C">
      <w:pPr>
        <w:autoSpaceDE w:val="0"/>
        <w:autoSpaceDN w:val="0"/>
        <w:adjustRightInd w:val="0"/>
        <w:spacing w:after="0" w:line="240" w:lineRule="auto"/>
        <w:rPr>
          <w:rFonts w:ascii="Calibri-Bold" w:hAnsi="Calibri-Bold" w:cs="Calibri-Bold"/>
          <w:b/>
          <w:bCs/>
          <w:color w:val="000000"/>
          <w:sz w:val="28"/>
          <w:szCs w:val="28"/>
        </w:rPr>
      </w:pPr>
    </w:p>
    <w:p w14:paraId="63DB4D24"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Counselling and Psychotherapy are umbrella terms that cover a range of talking therapies.</w:t>
      </w:r>
    </w:p>
    <w:p w14:paraId="6F2B4F4B"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 xml:space="preserve">They are delivered by trained practitioners who work with people over a short or long term to help them bring effective change or enhance their well- being.  The counselling offered adheres to the Good Practice for Counselling in Schools produced by the British Association of Counselling and Psychotherapy (BACP).  </w:t>
      </w:r>
    </w:p>
    <w:p w14:paraId="6B8DDBB1" w14:textId="77777777" w:rsidR="00E1715C" w:rsidRDefault="00E1715C">
      <w:pPr>
        <w:autoSpaceDE w:val="0"/>
        <w:autoSpaceDN w:val="0"/>
        <w:adjustRightInd w:val="0"/>
        <w:spacing w:after="0"/>
        <w:rPr>
          <w:rFonts w:ascii="Century Gothic" w:hAnsi="Century Gothic" w:cs="Calibri"/>
          <w:color w:val="000000"/>
          <w:sz w:val="20"/>
          <w:szCs w:val="20"/>
        </w:rPr>
      </w:pPr>
    </w:p>
    <w:p w14:paraId="3C32016C" w14:textId="77777777" w:rsidR="00E1715C" w:rsidRDefault="00DF1371">
      <w:pPr>
        <w:pStyle w:val="ListParagraph"/>
        <w:numPr>
          <w:ilvl w:val="0"/>
          <w:numId w:val="1"/>
        </w:num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It can help us to understand our relationships better and improve them</w:t>
      </w:r>
    </w:p>
    <w:p w14:paraId="656D6A44" w14:textId="77777777" w:rsidR="00E1715C" w:rsidRDefault="00DF1371">
      <w:pPr>
        <w:pStyle w:val="ListParagraph"/>
        <w:numPr>
          <w:ilvl w:val="0"/>
          <w:numId w:val="1"/>
        </w:num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It can help us to increase our level of self- awareness</w:t>
      </w:r>
    </w:p>
    <w:p w14:paraId="3192B155" w14:textId="77777777" w:rsidR="00E1715C" w:rsidRDefault="00DF1371">
      <w:pPr>
        <w:pStyle w:val="ListParagraph"/>
        <w:numPr>
          <w:ilvl w:val="0"/>
          <w:numId w:val="1"/>
        </w:num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It can help us to explore our feelings, and understand and manage them better</w:t>
      </w:r>
    </w:p>
    <w:p w14:paraId="63A9E2AB" w14:textId="77777777" w:rsidR="00E1715C" w:rsidRDefault="00DF1371">
      <w:pPr>
        <w:pStyle w:val="ListParagraph"/>
        <w:numPr>
          <w:ilvl w:val="0"/>
          <w:numId w:val="1"/>
        </w:num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It can help us to recognise unhelpful thought patterns and adopt new ones</w:t>
      </w:r>
    </w:p>
    <w:p w14:paraId="07699D54" w14:textId="2F49435C" w:rsidR="00E1715C" w:rsidRDefault="00DF1371">
      <w:pPr>
        <w:pStyle w:val="ListParagraph"/>
        <w:numPr>
          <w:ilvl w:val="0"/>
          <w:numId w:val="1"/>
        </w:numPr>
        <w:autoSpaceDE w:val="0"/>
        <w:autoSpaceDN w:val="0"/>
        <w:adjustRightInd w:val="0"/>
        <w:spacing w:after="0"/>
        <w:rPr>
          <w:rFonts w:ascii="Century Gothic" w:hAnsi="Century Gothic" w:cs="Calibri"/>
          <w:color w:val="000000"/>
          <w:sz w:val="20"/>
          <w:szCs w:val="20"/>
        </w:rPr>
      </w:pPr>
      <w:r w:rsidRPr="4E8F800B">
        <w:rPr>
          <w:rFonts w:ascii="Century Gothic" w:hAnsi="Century Gothic" w:cs="Calibri"/>
          <w:color w:val="000000" w:themeColor="text1"/>
          <w:sz w:val="20"/>
          <w:szCs w:val="20"/>
        </w:rPr>
        <w:t xml:space="preserve">It can help us to recognise the past and current behaviours which we do not want to take </w:t>
      </w:r>
      <w:r w:rsidR="42CACDB4" w:rsidRPr="4E8F800B">
        <w:rPr>
          <w:rFonts w:ascii="Century Gothic" w:hAnsi="Century Gothic" w:cs="Calibri"/>
          <w:color w:val="000000" w:themeColor="text1"/>
          <w:sz w:val="20"/>
          <w:szCs w:val="20"/>
        </w:rPr>
        <w:t>into</w:t>
      </w:r>
      <w:r w:rsidRPr="4E8F800B">
        <w:rPr>
          <w:rFonts w:ascii="Century Gothic" w:hAnsi="Century Gothic" w:cs="Calibri"/>
          <w:color w:val="000000" w:themeColor="text1"/>
          <w:sz w:val="20"/>
          <w:szCs w:val="20"/>
        </w:rPr>
        <w:t xml:space="preserve"> the future</w:t>
      </w:r>
    </w:p>
    <w:p w14:paraId="79C565DF" w14:textId="77777777" w:rsidR="00E1715C" w:rsidRDefault="00DF1371">
      <w:pPr>
        <w:pStyle w:val="ListParagraph"/>
        <w:numPr>
          <w:ilvl w:val="0"/>
          <w:numId w:val="1"/>
        </w:num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It can help us to improve our communication skills</w:t>
      </w:r>
    </w:p>
    <w:p w14:paraId="24E20B5B" w14:textId="77777777" w:rsidR="00E1715C" w:rsidRDefault="00DF1371">
      <w:pPr>
        <w:pStyle w:val="ListParagraph"/>
        <w:numPr>
          <w:ilvl w:val="0"/>
          <w:numId w:val="1"/>
        </w:num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It offers a place to reflect upon oneself and our relationship with the world</w:t>
      </w:r>
    </w:p>
    <w:p w14:paraId="0EDA78E7" w14:textId="77777777" w:rsidR="00E1715C" w:rsidRDefault="00E1715C">
      <w:pPr>
        <w:pStyle w:val="ListParagraph"/>
        <w:autoSpaceDE w:val="0"/>
        <w:autoSpaceDN w:val="0"/>
        <w:adjustRightInd w:val="0"/>
        <w:spacing w:after="0"/>
        <w:rPr>
          <w:rFonts w:ascii="Century Gothic" w:hAnsi="Century Gothic" w:cs="Calibri"/>
          <w:color w:val="000000"/>
          <w:sz w:val="20"/>
          <w:szCs w:val="20"/>
        </w:rPr>
      </w:pPr>
    </w:p>
    <w:p w14:paraId="6E5CFD66" w14:textId="0F9BC197" w:rsidR="00E1715C" w:rsidRDefault="00DF1371">
      <w:pPr>
        <w:autoSpaceDE w:val="0"/>
        <w:autoSpaceDN w:val="0"/>
        <w:adjustRightInd w:val="0"/>
        <w:spacing w:after="0"/>
        <w:rPr>
          <w:rFonts w:ascii="Century Gothic" w:hAnsi="Century Gothic" w:cs="Calibri"/>
          <w:color w:val="000000"/>
          <w:sz w:val="20"/>
          <w:szCs w:val="20"/>
        </w:rPr>
      </w:pPr>
      <w:r w:rsidRPr="7122D9A2">
        <w:rPr>
          <w:rFonts w:ascii="Century Gothic" w:hAnsi="Century Gothic" w:cs="Calibri"/>
          <w:color w:val="000000" w:themeColor="text1"/>
          <w:sz w:val="20"/>
          <w:szCs w:val="20"/>
        </w:rPr>
        <w:t xml:space="preserve">Young people face many challenges whilst growing </w:t>
      </w:r>
      <w:r w:rsidR="2631C496" w:rsidRPr="7122D9A2">
        <w:rPr>
          <w:rFonts w:ascii="Century Gothic" w:hAnsi="Century Gothic" w:cs="Calibri"/>
          <w:color w:val="000000" w:themeColor="text1"/>
          <w:sz w:val="20"/>
          <w:szCs w:val="20"/>
        </w:rPr>
        <w:t>up and</w:t>
      </w:r>
      <w:r w:rsidRPr="7122D9A2">
        <w:rPr>
          <w:rFonts w:ascii="Century Gothic" w:hAnsi="Century Gothic" w:cs="Calibri"/>
          <w:color w:val="000000" w:themeColor="text1"/>
          <w:sz w:val="20"/>
          <w:szCs w:val="20"/>
        </w:rPr>
        <w:t xml:space="preserve"> may find at times that they need someone to talk to external to either home or school. Counselling is a process which offers support and guidance when things feel particularly difficult. The counsellor will provide a safe and confidential space for a young person to explore thoughts and feelings which perhaps are overwhelming and upsetting, in a drive to enable change.</w:t>
      </w:r>
    </w:p>
    <w:p w14:paraId="007216D6" w14:textId="77777777" w:rsidR="00E1715C" w:rsidRDefault="00E1715C">
      <w:pPr>
        <w:autoSpaceDE w:val="0"/>
        <w:autoSpaceDN w:val="0"/>
        <w:adjustRightInd w:val="0"/>
        <w:spacing w:after="0" w:line="240" w:lineRule="auto"/>
        <w:rPr>
          <w:rFonts w:ascii="Calibri" w:hAnsi="Calibri" w:cs="Calibri"/>
          <w:color w:val="000000"/>
          <w:sz w:val="24"/>
          <w:szCs w:val="24"/>
        </w:rPr>
      </w:pPr>
    </w:p>
    <w:p w14:paraId="33E2CF0F" w14:textId="77777777" w:rsidR="00E1715C" w:rsidRDefault="00DF1371">
      <w:pPr>
        <w:autoSpaceDE w:val="0"/>
        <w:autoSpaceDN w:val="0"/>
        <w:adjustRightInd w:val="0"/>
        <w:spacing w:after="0" w:line="240" w:lineRule="auto"/>
        <w:rPr>
          <w:rFonts w:ascii="Century Gothic" w:hAnsi="Century Gothic" w:cs="Calibri-Bold"/>
          <w:b/>
          <w:bCs/>
          <w:color w:val="000000"/>
          <w:sz w:val="24"/>
          <w:szCs w:val="24"/>
        </w:rPr>
      </w:pPr>
      <w:r>
        <w:rPr>
          <w:rFonts w:ascii="Century Gothic" w:hAnsi="Century Gothic" w:cs="Calibri-Bold"/>
          <w:b/>
          <w:bCs/>
          <w:color w:val="000000"/>
          <w:sz w:val="24"/>
          <w:szCs w:val="24"/>
        </w:rPr>
        <w:t>Issues young people may be struggling with:</w:t>
      </w:r>
    </w:p>
    <w:p w14:paraId="1F2E3896" w14:textId="77777777" w:rsidR="00E1715C" w:rsidRDefault="00E1715C">
      <w:pPr>
        <w:autoSpaceDE w:val="0"/>
        <w:autoSpaceDN w:val="0"/>
        <w:adjustRightInd w:val="0"/>
        <w:spacing w:after="0" w:line="240" w:lineRule="auto"/>
        <w:rPr>
          <w:rFonts w:ascii="Calibri-Bold" w:hAnsi="Calibri-Bold" w:cs="Calibri-Bold"/>
          <w:b/>
          <w:bCs/>
          <w:color w:val="000000"/>
          <w:sz w:val="28"/>
          <w:szCs w:val="28"/>
        </w:rPr>
      </w:pPr>
    </w:p>
    <w:p w14:paraId="4B3D9212"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Peer pressure</w:t>
      </w:r>
    </w:p>
    <w:p w14:paraId="141987E2"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Academic pressure</w:t>
      </w:r>
    </w:p>
    <w:p w14:paraId="327EA1E6"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Parental divorce or separation</w:t>
      </w:r>
    </w:p>
    <w:p w14:paraId="3F15C241"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Bullying</w:t>
      </w:r>
    </w:p>
    <w:p w14:paraId="40CA1F50"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Drugs and /or alcohol</w:t>
      </w:r>
    </w:p>
    <w:p w14:paraId="252028E4"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Sexual health</w:t>
      </w:r>
    </w:p>
    <w:p w14:paraId="5DCD6AB9"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lastRenderedPageBreak/>
        <w:t>Arrival of new sibling</w:t>
      </w:r>
    </w:p>
    <w:p w14:paraId="2C842861"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Low mood</w:t>
      </w:r>
    </w:p>
    <w:p w14:paraId="650DDDAA"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Anxiety</w:t>
      </w:r>
    </w:p>
    <w:p w14:paraId="5FFDA716"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Exam stress</w:t>
      </w:r>
    </w:p>
    <w:p w14:paraId="20FFD927"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Bereavement</w:t>
      </w:r>
    </w:p>
    <w:p w14:paraId="123A5EB3"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Confusion</w:t>
      </w:r>
    </w:p>
    <w:p w14:paraId="644FAEF9"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Self- harm</w:t>
      </w:r>
    </w:p>
    <w:p w14:paraId="5FF87E44" w14:textId="77777777" w:rsidR="00E1715C" w:rsidRDefault="00DF1371">
      <w:pPr>
        <w:pStyle w:val="ListParagraph"/>
        <w:numPr>
          <w:ilvl w:val="0"/>
          <w:numId w:val="2"/>
        </w:numPr>
        <w:autoSpaceDE w:val="0"/>
        <w:autoSpaceDN w:val="0"/>
        <w:adjustRightInd w:val="0"/>
        <w:spacing w:after="0" w:line="240" w:lineRule="auto"/>
        <w:rPr>
          <w:rFonts w:ascii="Century Gothic" w:hAnsi="Century Gothic" w:cs="Calibri"/>
          <w:color w:val="000000"/>
          <w:sz w:val="20"/>
          <w:szCs w:val="20"/>
        </w:rPr>
      </w:pPr>
      <w:r>
        <w:rPr>
          <w:rFonts w:ascii="Century Gothic" w:hAnsi="Century Gothic" w:cs="Calibri"/>
          <w:color w:val="000000"/>
          <w:sz w:val="20"/>
          <w:szCs w:val="20"/>
        </w:rPr>
        <w:t>Eating disorders</w:t>
      </w:r>
    </w:p>
    <w:p w14:paraId="5B10E18D" w14:textId="77777777" w:rsidR="00E1715C" w:rsidRDefault="00E1715C">
      <w:pPr>
        <w:autoSpaceDE w:val="0"/>
        <w:autoSpaceDN w:val="0"/>
        <w:adjustRightInd w:val="0"/>
        <w:spacing w:after="0" w:line="240" w:lineRule="auto"/>
        <w:rPr>
          <w:rFonts w:ascii="Calibri" w:hAnsi="Calibri" w:cs="Calibri"/>
          <w:color w:val="000000"/>
          <w:sz w:val="24"/>
          <w:szCs w:val="24"/>
        </w:rPr>
      </w:pPr>
    </w:p>
    <w:p w14:paraId="31A9B8D0" w14:textId="77777777" w:rsidR="00E1715C" w:rsidRDefault="00DF1371">
      <w:pPr>
        <w:autoSpaceDE w:val="0"/>
        <w:autoSpaceDN w:val="0"/>
        <w:adjustRightInd w:val="0"/>
        <w:spacing w:after="0" w:line="240" w:lineRule="auto"/>
        <w:rPr>
          <w:rFonts w:ascii="Century Gothic" w:hAnsi="Century Gothic" w:cs="Calibri-Bold"/>
          <w:b/>
          <w:bCs/>
          <w:color w:val="000000"/>
          <w:sz w:val="24"/>
          <w:szCs w:val="24"/>
        </w:rPr>
      </w:pPr>
      <w:r>
        <w:rPr>
          <w:rFonts w:ascii="Century Gothic" w:hAnsi="Century Gothic" w:cs="Calibri-Bold"/>
          <w:b/>
          <w:bCs/>
          <w:color w:val="000000"/>
          <w:sz w:val="24"/>
          <w:szCs w:val="24"/>
        </w:rPr>
        <w:t>Referrals</w:t>
      </w:r>
    </w:p>
    <w:p w14:paraId="5723CE31" w14:textId="77777777" w:rsidR="00E1715C" w:rsidRDefault="00E1715C">
      <w:pPr>
        <w:autoSpaceDE w:val="0"/>
        <w:autoSpaceDN w:val="0"/>
        <w:adjustRightInd w:val="0"/>
        <w:spacing w:after="0" w:line="240" w:lineRule="auto"/>
        <w:rPr>
          <w:rFonts w:ascii="Century Gothic" w:hAnsi="Century Gothic" w:cs="Calibri-Bold"/>
          <w:b/>
          <w:bCs/>
          <w:color w:val="000000"/>
          <w:sz w:val="24"/>
          <w:szCs w:val="24"/>
        </w:rPr>
      </w:pPr>
    </w:p>
    <w:p w14:paraId="13AA0459" w14:textId="7DA7BBFD" w:rsidR="00E1715C" w:rsidRDefault="00DF1371">
      <w:pPr>
        <w:autoSpaceDE w:val="0"/>
        <w:autoSpaceDN w:val="0"/>
        <w:adjustRightInd w:val="0"/>
        <w:spacing w:after="0"/>
        <w:rPr>
          <w:rFonts w:ascii="Century Gothic" w:hAnsi="Century Gothic" w:cs="Calibri"/>
          <w:color w:val="000000"/>
          <w:sz w:val="20"/>
          <w:szCs w:val="20"/>
        </w:rPr>
      </w:pPr>
      <w:r w:rsidRPr="7EC27C8D">
        <w:rPr>
          <w:rFonts w:ascii="Century Gothic" w:hAnsi="Century Gothic" w:cs="Calibri"/>
          <w:color w:val="000000" w:themeColor="text1"/>
          <w:sz w:val="20"/>
          <w:szCs w:val="20"/>
        </w:rPr>
        <w:t xml:space="preserve">All referrals for counselling </w:t>
      </w:r>
      <w:r w:rsidR="78537133" w:rsidRPr="7EC27C8D">
        <w:rPr>
          <w:rFonts w:ascii="Century Gothic" w:hAnsi="Century Gothic" w:cs="Calibri"/>
          <w:color w:val="000000" w:themeColor="text1"/>
          <w:sz w:val="20"/>
          <w:szCs w:val="20"/>
        </w:rPr>
        <w:t>are made</w:t>
      </w:r>
      <w:r w:rsidRPr="7EC27C8D">
        <w:rPr>
          <w:rFonts w:ascii="Century Gothic" w:hAnsi="Century Gothic" w:cs="Calibri"/>
          <w:color w:val="000000" w:themeColor="text1"/>
          <w:sz w:val="20"/>
          <w:szCs w:val="20"/>
        </w:rPr>
        <w:t xml:space="preserve"> via the </w:t>
      </w:r>
      <w:r w:rsidR="001B5ED8" w:rsidRPr="7EC27C8D">
        <w:rPr>
          <w:rFonts w:ascii="Century Gothic" w:hAnsi="Century Gothic" w:cs="Calibri"/>
          <w:color w:val="000000" w:themeColor="text1"/>
          <w:sz w:val="20"/>
          <w:szCs w:val="20"/>
        </w:rPr>
        <w:t xml:space="preserve">Safeguarding Lead/team </w:t>
      </w:r>
      <w:r w:rsidRPr="7EC27C8D">
        <w:rPr>
          <w:rFonts w:ascii="Century Gothic" w:hAnsi="Century Gothic" w:cs="Calibri"/>
          <w:color w:val="000000" w:themeColor="text1"/>
          <w:sz w:val="20"/>
          <w:szCs w:val="20"/>
        </w:rPr>
        <w:t xml:space="preserve">or Headteacher.  </w:t>
      </w:r>
      <w:r w:rsidR="001B5ED8" w:rsidRPr="7EC27C8D">
        <w:rPr>
          <w:rFonts w:ascii="Century Gothic" w:hAnsi="Century Gothic" w:cs="Calibri"/>
          <w:color w:val="000000" w:themeColor="text1"/>
          <w:sz w:val="20"/>
          <w:szCs w:val="20"/>
        </w:rPr>
        <w:t>Staff will need</w:t>
      </w:r>
      <w:r w:rsidRPr="7EC27C8D">
        <w:rPr>
          <w:rFonts w:ascii="Century Gothic" w:hAnsi="Century Gothic" w:cs="Calibri"/>
          <w:color w:val="000000" w:themeColor="text1"/>
          <w:sz w:val="20"/>
          <w:szCs w:val="20"/>
        </w:rPr>
        <w:t xml:space="preserve"> to provide a </w:t>
      </w:r>
      <w:r w:rsidR="001B5ED8" w:rsidRPr="7EC27C8D">
        <w:rPr>
          <w:rFonts w:ascii="Century Gothic" w:hAnsi="Century Gothic" w:cs="Calibri"/>
          <w:color w:val="000000" w:themeColor="text1"/>
          <w:sz w:val="20"/>
          <w:szCs w:val="20"/>
        </w:rPr>
        <w:t xml:space="preserve">referral form </w:t>
      </w:r>
      <w:r w:rsidRPr="7EC27C8D">
        <w:rPr>
          <w:rFonts w:ascii="Century Gothic" w:hAnsi="Century Gothic" w:cs="Calibri"/>
          <w:color w:val="000000" w:themeColor="text1"/>
          <w:sz w:val="20"/>
          <w:szCs w:val="20"/>
        </w:rPr>
        <w:t xml:space="preserve">before </w:t>
      </w:r>
      <w:r w:rsidR="001B5ED8" w:rsidRPr="7EC27C8D">
        <w:rPr>
          <w:rFonts w:ascii="Century Gothic" w:hAnsi="Century Gothic" w:cs="Calibri"/>
          <w:color w:val="000000" w:themeColor="text1"/>
          <w:sz w:val="20"/>
          <w:szCs w:val="20"/>
        </w:rPr>
        <w:t>the request is considered and the pupil is allocated sessions.</w:t>
      </w:r>
      <w:r w:rsidRPr="7EC27C8D">
        <w:rPr>
          <w:rFonts w:ascii="Century Gothic" w:hAnsi="Century Gothic" w:cs="Calibri"/>
          <w:color w:val="000000" w:themeColor="text1"/>
          <w:sz w:val="20"/>
          <w:szCs w:val="20"/>
        </w:rPr>
        <w:t xml:space="preserve"> This acts as a primary link to understanding the issues that the young person is facing and provides some useful background information.  If it is deemed that school counselling is the most appropriate course of support, students will be introduced to the school counsellor following the referral and advised when a </w:t>
      </w:r>
      <w:r w:rsidR="5B0D8535" w:rsidRPr="7EC27C8D">
        <w:rPr>
          <w:rFonts w:ascii="Century Gothic" w:hAnsi="Century Gothic" w:cs="Calibri"/>
          <w:color w:val="000000" w:themeColor="text1"/>
          <w:sz w:val="20"/>
          <w:szCs w:val="20"/>
        </w:rPr>
        <w:t>session</w:t>
      </w:r>
      <w:r w:rsidRPr="7EC27C8D">
        <w:rPr>
          <w:rFonts w:ascii="Century Gothic" w:hAnsi="Century Gothic" w:cs="Calibri"/>
          <w:color w:val="000000" w:themeColor="text1"/>
          <w:sz w:val="20"/>
          <w:szCs w:val="20"/>
        </w:rPr>
        <w:t xml:space="preserve"> is available.  Appointments will be allocated in order of priority and sessions will normally commence between 1-4 weeks after referral.  The young person may have needs that are not appropriate for counselling and require alternative intervention by specialist Psychiatric services to whom young people and their families can be referred to from school. The counsellor can assist in signposting to other relevant services.</w:t>
      </w:r>
    </w:p>
    <w:p w14:paraId="7C7575F0" w14:textId="77777777" w:rsidR="00E1715C" w:rsidRDefault="00E1715C">
      <w:pPr>
        <w:autoSpaceDE w:val="0"/>
        <w:autoSpaceDN w:val="0"/>
        <w:adjustRightInd w:val="0"/>
        <w:spacing w:after="0" w:line="240" w:lineRule="auto"/>
        <w:rPr>
          <w:rFonts w:ascii="Calibri" w:hAnsi="Calibri" w:cs="Calibri"/>
          <w:color w:val="000000"/>
          <w:sz w:val="24"/>
          <w:szCs w:val="24"/>
        </w:rPr>
      </w:pPr>
    </w:p>
    <w:p w14:paraId="413A6D73" w14:textId="77777777" w:rsidR="00E1715C" w:rsidRDefault="00DF1371">
      <w:pPr>
        <w:autoSpaceDE w:val="0"/>
        <w:autoSpaceDN w:val="0"/>
        <w:adjustRightInd w:val="0"/>
        <w:spacing w:after="0" w:line="240" w:lineRule="auto"/>
        <w:rPr>
          <w:rFonts w:ascii="Century Gothic" w:hAnsi="Century Gothic" w:cs="Calibri-Bold"/>
          <w:b/>
          <w:bCs/>
          <w:color w:val="000000"/>
          <w:sz w:val="24"/>
          <w:szCs w:val="24"/>
        </w:rPr>
      </w:pPr>
      <w:r>
        <w:rPr>
          <w:rFonts w:ascii="Century Gothic" w:hAnsi="Century Gothic" w:cs="Calibri-Bold"/>
          <w:b/>
          <w:bCs/>
          <w:color w:val="000000"/>
          <w:sz w:val="24"/>
          <w:szCs w:val="24"/>
        </w:rPr>
        <w:t>Counselling Sessions</w:t>
      </w:r>
    </w:p>
    <w:p w14:paraId="7985B8F4" w14:textId="77777777" w:rsidR="00E1715C" w:rsidRDefault="00E1715C">
      <w:pPr>
        <w:autoSpaceDE w:val="0"/>
        <w:autoSpaceDN w:val="0"/>
        <w:adjustRightInd w:val="0"/>
        <w:spacing w:after="0" w:line="240" w:lineRule="auto"/>
        <w:rPr>
          <w:rFonts w:ascii="Century Gothic" w:hAnsi="Century Gothic" w:cs="Calibri-Bold"/>
          <w:b/>
          <w:bCs/>
          <w:color w:val="000000"/>
          <w:sz w:val="24"/>
          <w:szCs w:val="24"/>
        </w:rPr>
      </w:pPr>
    </w:p>
    <w:p w14:paraId="1A15633A" w14:textId="7A192D88" w:rsidR="00E1715C" w:rsidRDefault="00DF1371">
      <w:pPr>
        <w:autoSpaceDE w:val="0"/>
        <w:autoSpaceDN w:val="0"/>
        <w:adjustRightInd w:val="0"/>
        <w:spacing w:after="0"/>
        <w:rPr>
          <w:rFonts w:ascii="Century Gothic" w:hAnsi="Century Gothic" w:cs="Calibri"/>
          <w:color w:val="000000"/>
          <w:sz w:val="20"/>
          <w:szCs w:val="20"/>
        </w:rPr>
      </w:pPr>
      <w:r w:rsidRPr="7EC27C8D">
        <w:rPr>
          <w:rFonts w:ascii="Century Gothic" w:hAnsi="Century Gothic" w:cs="Calibri"/>
          <w:color w:val="000000" w:themeColor="text1"/>
          <w:sz w:val="20"/>
          <w:szCs w:val="20"/>
        </w:rPr>
        <w:t xml:space="preserve">The counselling sessions will be offered on a weekly basis for approximately 6-12 weeks, though this can vary according to need and circumstances. The actual session will last for approximately 50 minutes and the appointment times are varied so that the same subject is not missed each week. Students are seen in the counsellor’s room </w:t>
      </w:r>
      <w:r w:rsidR="667CA789" w:rsidRPr="7EC27C8D">
        <w:rPr>
          <w:rFonts w:ascii="Century Gothic" w:hAnsi="Century Gothic" w:cs="Calibri"/>
          <w:color w:val="000000" w:themeColor="text1"/>
          <w:sz w:val="20"/>
          <w:szCs w:val="20"/>
        </w:rPr>
        <w:t>to</w:t>
      </w:r>
      <w:r w:rsidRPr="7EC27C8D">
        <w:rPr>
          <w:rFonts w:ascii="Century Gothic" w:hAnsi="Century Gothic" w:cs="Calibri"/>
          <w:color w:val="000000" w:themeColor="text1"/>
          <w:sz w:val="20"/>
          <w:szCs w:val="20"/>
        </w:rPr>
        <w:t xml:space="preserve"> provide continuity and facilitate a safe containing therapeutic space in which individual difficulties can be explored.</w:t>
      </w:r>
    </w:p>
    <w:p w14:paraId="418C61D7"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In the counselling sessions the student can discuss various aspects of their life and feelings, talking about them freely and openly in a way that is rarely possible with friends or family.</w:t>
      </w:r>
    </w:p>
    <w:p w14:paraId="419250AB" w14:textId="4CF1ED79" w:rsidR="00E1715C" w:rsidRDefault="00DF1371">
      <w:pPr>
        <w:autoSpaceDE w:val="0"/>
        <w:autoSpaceDN w:val="0"/>
        <w:adjustRightInd w:val="0"/>
        <w:spacing w:after="0"/>
        <w:rPr>
          <w:rFonts w:ascii="Century Gothic" w:hAnsi="Century Gothic" w:cs="Calibri"/>
          <w:color w:val="000000"/>
          <w:sz w:val="20"/>
          <w:szCs w:val="20"/>
        </w:rPr>
      </w:pPr>
      <w:r w:rsidRPr="7EC27C8D">
        <w:rPr>
          <w:rFonts w:ascii="Century Gothic" w:hAnsi="Century Gothic" w:cs="Calibri"/>
          <w:color w:val="000000" w:themeColor="text1"/>
          <w:sz w:val="20"/>
          <w:szCs w:val="20"/>
        </w:rPr>
        <w:t xml:space="preserve">Bottled up feelings such as anger, anxiety, grief and embarrassment can become very </w:t>
      </w:r>
      <w:r w:rsidR="58B29470" w:rsidRPr="7EC27C8D">
        <w:rPr>
          <w:rFonts w:ascii="Century Gothic" w:hAnsi="Century Gothic" w:cs="Calibri"/>
          <w:color w:val="000000" w:themeColor="text1"/>
          <w:sz w:val="20"/>
          <w:szCs w:val="20"/>
        </w:rPr>
        <w:t>intense,</w:t>
      </w:r>
      <w:r w:rsidRPr="7EC27C8D">
        <w:rPr>
          <w:rFonts w:ascii="Century Gothic" w:hAnsi="Century Gothic" w:cs="Calibri"/>
          <w:color w:val="000000" w:themeColor="text1"/>
          <w:sz w:val="20"/>
          <w:szCs w:val="20"/>
        </w:rPr>
        <w:t xml:space="preserve"> and counselling offers an opportunity to explore them, with the possibility of making them easier to understand. The counsellor will encourage the expression of feelings and as a result of their training will be able to reflect the client’s problems without becoming burdened by them.</w:t>
      </w:r>
    </w:p>
    <w:p w14:paraId="252D889D"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Due to the nature of counselling students are seen individually though some specific group work is offered. Although they can be encouraged or recommendations can be made to attend, ultimately the young person must have</w:t>
      </w:r>
      <w:r>
        <w:rPr>
          <w:rFonts w:ascii="Calibri" w:hAnsi="Calibri" w:cs="Calibri"/>
          <w:color w:val="000000"/>
          <w:sz w:val="24"/>
          <w:szCs w:val="24"/>
        </w:rPr>
        <w:t xml:space="preserve"> the choice as counselling is voluntary.</w:t>
      </w:r>
    </w:p>
    <w:p w14:paraId="5EDEB65E" w14:textId="77777777" w:rsidR="00E1715C" w:rsidRDefault="00E1715C">
      <w:pPr>
        <w:autoSpaceDE w:val="0"/>
        <w:autoSpaceDN w:val="0"/>
        <w:adjustRightInd w:val="0"/>
        <w:spacing w:after="0" w:line="240" w:lineRule="auto"/>
        <w:rPr>
          <w:rFonts w:ascii="Calibri" w:hAnsi="Calibri" w:cs="Calibri"/>
          <w:color w:val="000000"/>
          <w:sz w:val="24"/>
          <w:szCs w:val="24"/>
        </w:rPr>
      </w:pPr>
    </w:p>
    <w:p w14:paraId="21070AFE" w14:textId="77777777" w:rsidR="00E1715C" w:rsidRDefault="00DF1371">
      <w:pPr>
        <w:autoSpaceDE w:val="0"/>
        <w:autoSpaceDN w:val="0"/>
        <w:adjustRightInd w:val="0"/>
        <w:spacing w:after="0" w:line="240" w:lineRule="auto"/>
        <w:rPr>
          <w:rFonts w:ascii="Century Gothic" w:hAnsi="Century Gothic" w:cs="Calibri-Bold"/>
          <w:b/>
          <w:bCs/>
          <w:color w:val="000000"/>
          <w:sz w:val="24"/>
          <w:szCs w:val="24"/>
        </w:rPr>
      </w:pPr>
      <w:r>
        <w:rPr>
          <w:rFonts w:ascii="Century Gothic" w:hAnsi="Century Gothic" w:cs="Calibri-Bold"/>
          <w:b/>
          <w:bCs/>
          <w:color w:val="000000"/>
          <w:sz w:val="24"/>
          <w:szCs w:val="24"/>
        </w:rPr>
        <w:t>Confidentiality</w:t>
      </w:r>
    </w:p>
    <w:p w14:paraId="263D79C2" w14:textId="77777777" w:rsidR="00E1715C" w:rsidRDefault="00E1715C">
      <w:pPr>
        <w:autoSpaceDE w:val="0"/>
        <w:autoSpaceDN w:val="0"/>
        <w:adjustRightInd w:val="0"/>
        <w:spacing w:after="0" w:line="240" w:lineRule="auto"/>
        <w:rPr>
          <w:rFonts w:ascii="Century Gothic" w:hAnsi="Century Gothic" w:cs="Calibri-Bold"/>
          <w:b/>
          <w:bCs/>
          <w:color w:val="000000"/>
          <w:sz w:val="24"/>
          <w:szCs w:val="24"/>
        </w:rPr>
      </w:pPr>
    </w:p>
    <w:p w14:paraId="1F74C5E5"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All young people are entitled to confidentiality as outlined by the BACP (British Association of Counsellor and Psychotherapists) Code of Ethics. This means that the information they bring to the session will be held in confidence between themselves and the counsellor.</w:t>
      </w:r>
    </w:p>
    <w:p w14:paraId="5DD8A16E"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 xml:space="preserve">The counsellor will however state that they may need to break confidentiality should they deem the young person to be at significant risk to themselves or others. At this point </w:t>
      </w:r>
      <w:r>
        <w:rPr>
          <w:rFonts w:ascii="Century Gothic" w:hAnsi="Century Gothic" w:cs="Calibri"/>
          <w:color w:val="000000"/>
          <w:sz w:val="20"/>
          <w:szCs w:val="20"/>
        </w:rPr>
        <w:lastRenderedPageBreak/>
        <w:t>information may need to be shared with the designated safeguarding team, who would decide whether a referral would need to be made to an outside agency.</w:t>
      </w:r>
    </w:p>
    <w:p w14:paraId="5AB5DE7D" w14:textId="77777777" w:rsidR="00E1715C" w:rsidRDefault="00DF1371">
      <w:pPr>
        <w:autoSpaceDE w:val="0"/>
        <w:autoSpaceDN w:val="0"/>
        <w:adjustRightInd w:val="0"/>
        <w:spacing w:after="0"/>
        <w:rPr>
          <w:rFonts w:ascii="Century Gothic" w:hAnsi="Century Gothic" w:cs="Calibri"/>
          <w:color w:val="000000"/>
          <w:sz w:val="20"/>
          <w:szCs w:val="20"/>
        </w:rPr>
      </w:pPr>
      <w:r>
        <w:rPr>
          <w:rFonts w:ascii="Century Gothic" w:hAnsi="Century Gothic" w:cs="Calibri"/>
          <w:color w:val="000000"/>
          <w:sz w:val="20"/>
          <w:szCs w:val="20"/>
        </w:rPr>
        <w:t>Confidential records are kept securely by the counsellor, separate from other information held by school on the student.  Counselling records consist of notes on sessions held with students with details of the issues discussed.</w:t>
      </w:r>
    </w:p>
    <w:p w14:paraId="0E253FF9" w14:textId="77777777" w:rsidR="00E1715C" w:rsidRDefault="00E1715C">
      <w:pPr>
        <w:autoSpaceDE w:val="0"/>
        <w:autoSpaceDN w:val="0"/>
        <w:adjustRightInd w:val="0"/>
        <w:spacing w:after="0" w:line="240" w:lineRule="auto"/>
        <w:rPr>
          <w:rFonts w:ascii="Calibri" w:hAnsi="Calibri" w:cs="Calibri"/>
          <w:color w:val="000000"/>
          <w:sz w:val="24"/>
          <w:szCs w:val="24"/>
        </w:rPr>
      </w:pPr>
    </w:p>
    <w:p w14:paraId="4613EFC6" w14:textId="77777777" w:rsidR="00E1715C" w:rsidRPr="00290EFE" w:rsidRDefault="00DF1371">
      <w:pPr>
        <w:autoSpaceDE w:val="0"/>
        <w:autoSpaceDN w:val="0"/>
        <w:adjustRightInd w:val="0"/>
        <w:spacing w:after="0" w:line="240" w:lineRule="auto"/>
        <w:rPr>
          <w:rFonts w:ascii="Century Gothic" w:hAnsi="Century Gothic" w:cs="Calibri-Bold"/>
          <w:b/>
          <w:bCs/>
          <w:color w:val="000000"/>
          <w:sz w:val="24"/>
          <w:szCs w:val="24"/>
        </w:rPr>
      </w:pPr>
      <w:r w:rsidRPr="00290EFE">
        <w:rPr>
          <w:rFonts w:ascii="Century Gothic" w:hAnsi="Century Gothic" w:cs="Calibri-Bold"/>
          <w:b/>
          <w:bCs/>
          <w:color w:val="000000"/>
          <w:sz w:val="24"/>
          <w:szCs w:val="24"/>
        </w:rPr>
        <w:t>Gillick Competence</w:t>
      </w:r>
    </w:p>
    <w:p w14:paraId="05E2613D" w14:textId="77777777" w:rsidR="00E1715C" w:rsidRPr="00290EFE" w:rsidRDefault="00E1715C">
      <w:pPr>
        <w:autoSpaceDE w:val="0"/>
        <w:autoSpaceDN w:val="0"/>
        <w:adjustRightInd w:val="0"/>
        <w:spacing w:after="0" w:line="240" w:lineRule="auto"/>
        <w:rPr>
          <w:rFonts w:ascii="Century Gothic" w:hAnsi="Century Gothic" w:cs="Calibri-Bold"/>
          <w:b/>
          <w:bCs/>
          <w:color w:val="000000"/>
          <w:sz w:val="24"/>
          <w:szCs w:val="24"/>
        </w:rPr>
      </w:pPr>
    </w:p>
    <w:p w14:paraId="58B920A0" w14:textId="77777777" w:rsidR="00E1715C" w:rsidRPr="00290EFE" w:rsidRDefault="00DF1371">
      <w:p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 xml:space="preserve">“As a general principle it is legal and acceptable for a young person to ask for confidential counselling without parental consent </w:t>
      </w:r>
      <w:proofErr w:type="gramStart"/>
      <w:r w:rsidRPr="00290EFE">
        <w:rPr>
          <w:rFonts w:ascii="Calibri" w:hAnsi="Calibri" w:cs="Calibri"/>
          <w:color w:val="000000"/>
          <w:sz w:val="24"/>
          <w:szCs w:val="24"/>
        </w:rPr>
        <w:t>providing</w:t>
      </w:r>
      <w:proofErr w:type="gramEnd"/>
      <w:r w:rsidRPr="00290EFE">
        <w:rPr>
          <w:rFonts w:ascii="Calibri" w:hAnsi="Calibri" w:cs="Calibri"/>
          <w:color w:val="000000"/>
          <w:sz w:val="24"/>
          <w:szCs w:val="24"/>
        </w:rPr>
        <w:t xml:space="preserve"> they are of sufficient understanding and intelligence.” (Gillick v West Norfolk AHA, House of Lords 1985</w:t>
      </w:r>
      <w:proofErr w:type="gramStart"/>
      <w:r w:rsidRPr="00290EFE">
        <w:rPr>
          <w:rFonts w:ascii="Calibri" w:hAnsi="Calibri" w:cs="Calibri"/>
          <w:color w:val="000000"/>
          <w:sz w:val="24"/>
          <w:szCs w:val="24"/>
        </w:rPr>
        <w:t>)  Since</w:t>
      </w:r>
      <w:proofErr w:type="gramEnd"/>
      <w:r w:rsidRPr="00290EFE">
        <w:rPr>
          <w:rFonts w:ascii="Calibri" w:hAnsi="Calibri" w:cs="Calibri"/>
          <w:color w:val="000000"/>
          <w:sz w:val="24"/>
          <w:szCs w:val="24"/>
        </w:rPr>
        <w:t xml:space="preserve"> this ruling all young people are entitled to confidential counselling. Gillick competence will be assessed by the counsellor in the first session with the young person and if deemed competent the young person will be able to give consent to counselling.</w:t>
      </w:r>
    </w:p>
    <w:p w14:paraId="51256E32" w14:textId="77777777" w:rsidR="00E1715C" w:rsidRPr="00290EFE" w:rsidRDefault="00DF1371">
      <w:p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Assessment of competence based on the Gillick principle depends on:</w:t>
      </w:r>
    </w:p>
    <w:p w14:paraId="2401465D" w14:textId="77777777" w:rsidR="00E1715C" w:rsidRPr="00290EFE" w:rsidRDefault="00DF1371">
      <w:pPr>
        <w:pStyle w:val="ListParagraph"/>
        <w:numPr>
          <w:ilvl w:val="0"/>
          <w:numId w:val="3"/>
        </w:num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The maturity of the young person</w:t>
      </w:r>
    </w:p>
    <w:p w14:paraId="5FF51B3A" w14:textId="77777777" w:rsidR="00E1715C" w:rsidRPr="00290EFE" w:rsidRDefault="00DF1371">
      <w:pPr>
        <w:pStyle w:val="ListParagraph"/>
        <w:numPr>
          <w:ilvl w:val="0"/>
          <w:numId w:val="3"/>
        </w:num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The young person having sufficient intelligence and understanding of the</w:t>
      </w:r>
    </w:p>
    <w:p w14:paraId="592257CF" w14:textId="77777777" w:rsidR="00E1715C" w:rsidRPr="00290EFE" w:rsidRDefault="00DF1371">
      <w:pPr>
        <w:pStyle w:val="ListParagraph"/>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consequences of his or her actions</w:t>
      </w:r>
    </w:p>
    <w:p w14:paraId="158F94F1" w14:textId="77777777" w:rsidR="00E1715C" w:rsidRPr="00290EFE" w:rsidRDefault="00DF1371">
      <w:pPr>
        <w:pStyle w:val="ListParagraph"/>
        <w:numPr>
          <w:ilvl w:val="0"/>
          <w:numId w:val="3"/>
        </w:num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The young person having sufficient intelligence and understanding to enable</w:t>
      </w:r>
    </w:p>
    <w:p w14:paraId="405194E1" w14:textId="77777777" w:rsidR="00E1715C" w:rsidRPr="00290EFE" w:rsidRDefault="00DF1371">
      <w:pPr>
        <w:pStyle w:val="ListParagraph"/>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 xml:space="preserve">them to understand what is being proposed </w:t>
      </w:r>
      <w:proofErr w:type="spellStart"/>
      <w:r w:rsidRPr="00290EFE">
        <w:rPr>
          <w:rFonts w:ascii="Calibri" w:hAnsi="Calibri" w:cs="Calibri"/>
          <w:color w:val="000000"/>
          <w:sz w:val="24"/>
          <w:szCs w:val="24"/>
        </w:rPr>
        <w:t>i.e</w:t>
      </w:r>
      <w:proofErr w:type="spellEnd"/>
      <w:r w:rsidRPr="00290EFE">
        <w:rPr>
          <w:rFonts w:ascii="Calibri" w:hAnsi="Calibri" w:cs="Calibri"/>
          <w:color w:val="000000"/>
          <w:sz w:val="24"/>
          <w:szCs w:val="24"/>
        </w:rPr>
        <w:t xml:space="preserve"> counselling.</w:t>
      </w:r>
    </w:p>
    <w:p w14:paraId="14C93F7A" w14:textId="77777777" w:rsidR="00290EFE" w:rsidRPr="00290EFE" w:rsidRDefault="00290EFE">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Few Primary aged </w:t>
      </w:r>
      <w:r w:rsidR="00DF1371" w:rsidRPr="00290EFE">
        <w:rPr>
          <w:rFonts w:ascii="Calibri" w:hAnsi="Calibri" w:cs="Calibri"/>
          <w:color w:val="000000"/>
          <w:sz w:val="24"/>
          <w:szCs w:val="24"/>
        </w:rPr>
        <w:t>school st</w:t>
      </w:r>
      <w:r>
        <w:rPr>
          <w:rFonts w:ascii="Calibri" w:hAnsi="Calibri" w:cs="Calibri"/>
          <w:color w:val="000000"/>
          <w:sz w:val="24"/>
          <w:szCs w:val="24"/>
        </w:rPr>
        <w:t>udents are deemed mature</w:t>
      </w:r>
      <w:r w:rsidR="00DF1371" w:rsidRPr="00290EFE">
        <w:rPr>
          <w:rFonts w:ascii="Calibri" w:hAnsi="Calibri" w:cs="Calibri"/>
          <w:color w:val="000000"/>
          <w:sz w:val="24"/>
          <w:szCs w:val="24"/>
        </w:rPr>
        <w:t xml:space="preserve"> enough to understand the co</w:t>
      </w:r>
      <w:r>
        <w:rPr>
          <w:rFonts w:ascii="Calibri" w:hAnsi="Calibri" w:cs="Calibri"/>
          <w:color w:val="000000"/>
          <w:sz w:val="24"/>
          <w:szCs w:val="24"/>
        </w:rPr>
        <w:t>unselling process.   It is crucial</w:t>
      </w:r>
      <w:r w:rsidR="00DF1371" w:rsidRPr="00290EFE">
        <w:rPr>
          <w:rFonts w:ascii="Calibri" w:hAnsi="Calibri" w:cs="Calibri"/>
          <w:color w:val="000000"/>
          <w:sz w:val="24"/>
          <w:szCs w:val="24"/>
        </w:rPr>
        <w:t xml:space="preserve"> that parental consent is obtained. Every effort is made to engage parents and where appropriate, young people are encouraged to inform their parents that they are receiving counselling. For any further information about the counselling </w:t>
      </w:r>
      <w:r w:rsidRPr="00290EFE">
        <w:rPr>
          <w:rFonts w:ascii="Calibri" w:hAnsi="Calibri" w:cs="Calibri"/>
          <w:color w:val="000000"/>
          <w:sz w:val="24"/>
          <w:szCs w:val="24"/>
        </w:rPr>
        <w:t xml:space="preserve">service, please contact Mrs </w:t>
      </w:r>
      <w:proofErr w:type="spellStart"/>
      <w:r w:rsidRPr="00290EFE">
        <w:rPr>
          <w:rFonts w:ascii="Calibri" w:hAnsi="Calibri" w:cs="Calibri"/>
          <w:color w:val="000000"/>
          <w:sz w:val="24"/>
          <w:szCs w:val="24"/>
        </w:rPr>
        <w:t>Macriner</w:t>
      </w:r>
      <w:proofErr w:type="spellEnd"/>
      <w:r w:rsidRPr="00290EFE">
        <w:rPr>
          <w:rFonts w:ascii="Calibri" w:hAnsi="Calibri" w:cs="Calibri"/>
          <w:color w:val="000000"/>
          <w:sz w:val="24"/>
          <w:szCs w:val="24"/>
        </w:rPr>
        <w:t xml:space="preserve"> who </w:t>
      </w:r>
      <w:r w:rsidR="00DF1371" w:rsidRPr="00290EFE">
        <w:rPr>
          <w:rFonts w:ascii="Calibri" w:hAnsi="Calibri" w:cs="Calibri"/>
          <w:color w:val="000000"/>
          <w:sz w:val="24"/>
          <w:szCs w:val="24"/>
        </w:rPr>
        <w:t>would be happy</w:t>
      </w:r>
      <w:r w:rsidR="00DF1371">
        <w:rPr>
          <w:rFonts w:ascii="Calibri" w:hAnsi="Calibri" w:cs="Calibri"/>
          <w:color w:val="000000"/>
          <w:sz w:val="24"/>
          <w:szCs w:val="24"/>
        </w:rPr>
        <w:t xml:space="preserve"> to help.  </w:t>
      </w:r>
    </w:p>
    <w:p w14:paraId="0794E698" w14:textId="77777777" w:rsidR="00E1715C" w:rsidRPr="00290EFE" w:rsidRDefault="00290EFE">
      <w:p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The counsellor is an Integrative</w:t>
      </w:r>
      <w:r w:rsidR="00DF1371" w:rsidRPr="00290EFE">
        <w:rPr>
          <w:rFonts w:ascii="Calibri" w:hAnsi="Calibri" w:cs="Calibri"/>
          <w:color w:val="000000"/>
          <w:sz w:val="24"/>
          <w:szCs w:val="24"/>
        </w:rPr>
        <w:t xml:space="preserve"> practitioner an</w:t>
      </w:r>
      <w:r w:rsidRPr="00290EFE">
        <w:rPr>
          <w:rFonts w:ascii="Calibri" w:hAnsi="Calibri" w:cs="Calibri"/>
          <w:color w:val="000000"/>
          <w:sz w:val="24"/>
          <w:szCs w:val="24"/>
        </w:rPr>
        <w:t>d trained to deliver</w:t>
      </w:r>
      <w:r w:rsidR="00DF1371">
        <w:rPr>
          <w:rFonts w:ascii="Calibri" w:hAnsi="Calibri" w:cs="Calibri"/>
          <w:color w:val="000000"/>
          <w:sz w:val="24"/>
          <w:szCs w:val="24"/>
        </w:rPr>
        <w:t xml:space="preserve"> </w:t>
      </w:r>
      <w:r w:rsidR="00DF1371" w:rsidRPr="00290EFE">
        <w:rPr>
          <w:rFonts w:ascii="Calibri" w:hAnsi="Calibri" w:cs="Calibri"/>
          <w:color w:val="000000"/>
          <w:sz w:val="24"/>
          <w:szCs w:val="24"/>
        </w:rPr>
        <w:t>programmes</w:t>
      </w:r>
      <w:r w:rsidRPr="00290EFE">
        <w:rPr>
          <w:rFonts w:ascii="Calibri" w:hAnsi="Calibri" w:cs="Calibri"/>
          <w:color w:val="000000"/>
          <w:sz w:val="24"/>
          <w:szCs w:val="24"/>
        </w:rPr>
        <w:t xml:space="preserve"> for young people in schools. </w:t>
      </w:r>
      <w:r w:rsidR="00DF1371" w:rsidRPr="00290EFE">
        <w:rPr>
          <w:rFonts w:ascii="Calibri" w:hAnsi="Calibri" w:cs="Calibri"/>
          <w:color w:val="000000"/>
          <w:sz w:val="24"/>
          <w:szCs w:val="24"/>
        </w:rPr>
        <w:t xml:space="preserve"> The counsellor in accordance with BACP guidelines receives regular clinical supervision which is accommodated and paid for by school.</w:t>
      </w:r>
    </w:p>
    <w:p w14:paraId="765EFC54" w14:textId="77777777" w:rsidR="00E1715C" w:rsidRPr="00290EFE" w:rsidRDefault="00DF1371">
      <w:p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The counsellor ensures she undertakes relevant CPD training and keeps up to date with</w:t>
      </w:r>
    </w:p>
    <w:p w14:paraId="35031BAD" w14:textId="77777777" w:rsidR="00E1715C" w:rsidRDefault="00DF1371">
      <w:pPr>
        <w:autoSpaceDE w:val="0"/>
        <w:autoSpaceDN w:val="0"/>
        <w:adjustRightInd w:val="0"/>
        <w:spacing w:after="0" w:line="240" w:lineRule="auto"/>
        <w:rPr>
          <w:rFonts w:ascii="Calibri" w:hAnsi="Calibri" w:cs="Calibri"/>
          <w:color w:val="000000"/>
          <w:sz w:val="24"/>
          <w:szCs w:val="24"/>
        </w:rPr>
      </w:pPr>
      <w:r w:rsidRPr="00290EFE">
        <w:rPr>
          <w:rFonts w:ascii="Calibri" w:hAnsi="Calibri" w:cs="Calibri"/>
          <w:color w:val="000000"/>
          <w:sz w:val="24"/>
          <w:szCs w:val="24"/>
        </w:rPr>
        <w:t>counselling theory to ensure best practice.</w:t>
      </w:r>
    </w:p>
    <w:p w14:paraId="53498ABF" w14:textId="77777777" w:rsidR="00E1715C" w:rsidRDefault="00E1715C">
      <w:pPr>
        <w:rPr>
          <w:rFonts w:ascii="Calibri-Bold" w:hAnsi="Calibri-Bold" w:cs="Calibri-Bold"/>
          <w:b/>
          <w:bCs/>
          <w:color w:val="595959"/>
          <w:sz w:val="44"/>
          <w:szCs w:val="44"/>
        </w:rPr>
      </w:pPr>
    </w:p>
    <w:p w14:paraId="475CA57E" w14:textId="77777777" w:rsidR="00E1715C" w:rsidRDefault="00E1715C">
      <w:pPr>
        <w:rPr>
          <w:rFonts w:ascii="Calibri-Bold" w:hAnsi="Calibri-Bold" w:cs="Calibri-Bold"/>
          <w:b/>
          <w:bCs/>
          <w:color w:val="595959"/>
          <w:sz w:val="44"/>
          <w:szCs w:val="44"/>
        </w:rPr>
      </w:pPr>
    </w:p>
    <w:p w14:paraId="4845A006" w14:textId="77777777" w:rsidR="00E1715C" w:rsidRDefault="00E1715C">
      <w:pPr>
        <w:rPr>
          <w:rFonts w:ascii="Calibri-Bold" w:hAnsi="Calibri-Bold" w:cs="Calibri-Bold"/>
          <w:b/>
          <w:bCs/>
          <w:color w:val="595959"/>
          <w:sz w:val="44"/>
          <w:szCs w:val="44"/>
        </w:rPr>
      </w:pPr>
    </w:p>
    <w:p w14:paraId="3218EA6F" w14:textId="77777777" w:rsidR="00E1715C" w:rsidRDefault="00E1715C">
      <w:pPr>
        <w:rPr>
          <w:rFonts w:ascii="Calibri-Bold" w:hAnsi="Calibri-Bold" w:cs="Calibri-Bold"/>
          <w:b/>
          <w:bCs/>
          <w:color w:val="595959"/>
          <w:sz w:val="44"/>
          <w:szCs w:val="44"/>
        </w:rPr>
      </w:pPr>
    </w:p>
    <w:p w14:paraId="00E67F84" w14:textId="77777777" w:rsidR="00E1715C" w:rsidRDefault="00E1715C"/>
    <w:sectPr w:rsidR="00E171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D747B"/>
    <w:multiLevelType w:val="hybridMultilevel"/>
    <w:tmpl w:val="A8988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E4E36"/>
    <w:multiLevelType w:val="hybridMultilevel"/>
    <w:tmpl w:val="6736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611F0"/>
    <w:multiLevelType w:val="hybridMultilevel"/>
    <w:tmpl w:val="EC04E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15C"/>
    <w:rsid w:val="000C0A4D"/>
    <w:rsid w:val="0014082A"/>
    <w:rsid w:val="001B5ED8"/>
    <w:rsid w:val="00290EFE"/>
    <w:rsid w:val="004C25F3"/>
    <w:rsid w:val="00A0078A"/>
    <w:rsid w:val="00A04C26"/>
    <w:rsid w:val="00BA3B4E"/>
    <w:rsid w:val="00C14B36"/>
    <w:rsid w:val="00DF1371"/>
    <w:rsid w:val="00E1715C"/>
    <w:rsid w:val="2631C496"/>
    <w:rsid w:val="42CACDB4"/>
    <w:rsid w:val="4E8F800B"/>
    <w:rsid w:val="58B29470"/>
    <w:rsid w:val="5B0D8535"/>
    <w:rsid w:val="667CA789"/>
    <w:rsid w:val="7122D9A2"/>
    <w:rsid w:val="78537133"/>
    <w:rsid w:val="7EC27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0FE2"/>
  <w15:chartTrackingRefBased/>
  <w15:docId w15:val="{D90BB5DF-6261-4153-B46F-CC10A4F0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7C6A79CAF22946ADF12A70F8D27406" ma:contentTypeVersion="3" ma:contentTypeDescription="Create a new document." ma:contentTypeScope="" ma:versionID="eb9cc42f29d26fa28b43f8dba205a8cb">
  <xsd:schema xmlns:xsd="http://www.w3.org/2001/XMLSchema" xmlns:xs="http://www.w3.org/2001/XMLSchema" xmlns:p="http://schemas.microsoft.com/office/2006/metadata/properties" xmlns:ns2="b0734da3-d22e-48be-a5ec-c52db6bc8f5e" targetNamespace="http://schemas.microsoft.com/office/2006/metadata/properties" ma:root="true" ma:fieldsID="0dc358a9ea924e7e88411e817a7a2738" ns2:_="">
    <xsd:import namespace="b0734da3-d22e-48be-a5ec-c52db6bc8f5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4da3-d22e-48be-a5ec-c52db6bc8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C4B86D-91C6-4F18-B8B8-2C2372AE976B}">
  <ds:schemaRefs>
    <ds:schemaRef ds:uri="http://schemas.microsoft.com/sharepoint/v3/contenttype/forms"/>
  </ds:schemaRefs>
</ds:datastoreItem>
</file>

<file path=customXml/itemProps2.xml><?xml version="1.0" encoding="utf-8"?>
<ds:datastoreItem xmlns:ds="http://schemas.openxmlformats.org/officeDocument/2006/customXml" ds:itemID="{76F5EACF-3323-47CC-9AFA-5DCDEEF65B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EC8C66-6EDC-4EB2-B867-275B263E3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4da3-d22e-48be-a5ec-c52db6bc8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1130</Words>
  <Characters>6446</Characters>
  <Application>Microsoft Office Word</Application>
  <DocSecurity>0</DocSecurity>
  <Lines>53</Lines>
  <Paragraphs>15</Paragraphs>
  <ScaleCrop>false</ScaleCrop>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Hamblin, Vivien</dc:creator>
  <cp:keywords/>
  <dc:description/>
  <cp:lastModifiedBy>Marcia Randle</cp:lastModifiedBy>
  <cp:revision>2</cp:revision>
  <dcterms:created xsi:type="dcterms:W3CDTF">2026-02-06T08:59:00Z</dcterms:created>
  <dcterms:modified xsi:type="dcterms:W3CDTF">2026-02-06T08:59:00Z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0x010100257C6A79CAF22946ADF12A70F8D27406</vt:lpwstr>
  </property>
</Properties>
</file>